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sz w:val="84"/>
          <w:szCs w:val="84"/>
        </w:rPr>
      </w:pPr>
      <w:r>
        <w:rPr>
          <w:sz w:val="84"/>
          <w:szCs w:val="84"/>
        </w:rPr>
        <w:t>2018</w:t>
      </w:r>
      <w:r>
        <w:rPr>
          <w:rFonts w:hint="eastAsia"/>
          <w:sz w:val="84"/>
          <w:szCs w:val="84"/>
        </w:rPr>
        <w:t>年度部门决算公开</w:t>
      </w:r>
    </w:p>
    <w:p>
      <w:pPr>
        <w:widowControl/>
        <w:jc w:val="center"/>
        <w:rPr>
          <w:rFonts w:ascii="黑体" w:hAnsi="宋体" w:eastAsia="黑体"/>
          <w:color w:val="002060"/>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hint="eastAsia"/>
          <w:b/>
          <w:sz w:val="44"/>
          <w:szCs w:val="44"/>
        </w:rPr>
        <w:sectPr>
          <w:pgSz w:w="11906" w:h="16838"/>
          <w:pgMar w:top="2098" w:right="1474" w:bottom="1985" w:left="1588" w:header="851" w:footer="992" w:gutter="0"/>
          <w:cols w:space="425" w:num="1"/>
          <w:docGrid w:type="lines" w:linePitch="312" w:charSpace="0"/>
        </w:sectPr>
      </w:pPr>
      <w:r>
        <w:rPr>
          <w:rFonts w:hint="eastAsia"/>
          <w:b/>
          <w:sz w:val="44"/>
          <w:szCs w:val="44"/>
        </w:rPr>
        <w:t>文安县建设局</w:t>
      </w:r>
    </w:p>
    <w:p>
      <w:pPr>
        <w:widowControl/>
        <w:jc w:val="center"/>
        <w:rPr>
          <w:color w:val="000000"/>
          <w:sz w:val="96"/>
          <w:szCs w:val="96"/>
        </w:rPr>
      </w:pPr>
      <w:r>
        <w:rPr>
          <w:rFonts w:hint="eastAsia" w:hAnsi="宋体" w:asciiTheme="minorEastAsia" w:eastAsiaTheme="minorEastAsia"/>
          <w:color w:val="000000" w:themeColor="text1"/>
          <w:sz w:val="96"/>
          <w:szCs w:val="96"/>
        </w:rPr>
        <w:t>第一部分  部门概况</w:t>
      </w:r>
    </w:p>
    <w:p>
      <w:pPr>
        <w:pStyle w:val="2"/>
        <w:spacing w:before="0" w:after="0" w:line="600" w:lineRule="exact"/>
        <w:jc w:val="left"/>
        <w:rPr>
          <w:rFonts w:hint="eastAsia" w:ascii="黑体" w:eastAsia="黑体" w:cs="黑体" w:hAnsiTheme="minorHAnsi"/>
          <w:b w:val="0"/>
          <w:bCs w:val="0"/>
          <w:kern w:val="0"/>
          <w:sz w:val="32"/>
          <w:szCs w:val="32"/>
        </w:rPr>
      </w:pPr>
      <w:r>
        <w:rPr>
          <w:rFonts w:hint="eastAsia" w:ascii="黑体" w:eastAsia="黑体" w:cs="黑体" w:hAnsiTheme="minorHAnsi"/>
          <w:b w:val="0"/>
          <w:bCs w:val="0"/>
          <w:kern w:val="0"/>
          <w:sz w:val="32"/>
          <w:szCs w:val="32"/>
          <w:lang w:eastAsia="zh-CN"/>
        </w:rPr>
        <w:t>一、</w:t>
      </w:r>
      <w:r>
        <w:rPr>
          <w:rFonts w:hint="eastAsia" w:ascii="黑体" w:eastAsia="黑体" w:cs="黑体" w:hAnsiTheme="minorHAnsi"/>
          <w:b w:val="0"/>
          <w:bCs w:val="0"/>
          <w:kern w:val="0"/>
          <w:sz w:val="32"/>
          <w:szCs w:val="32"/>
        </w:rPr>
        <w:t>部门职责</w:t>
      </w:r>
    </w:p>
    <w:p>
      <w:pPr>
        <w:pStyle w:val="11"/>
        <w:widowControl/>
        <w:shd w:val="clear" w:color="auto" w:fill="FFFFFF"/>
        <w:spacing w:before="0" w:beforeAutospacing="0" w:after="0" w:afterAutospacing="0"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 xml:space="preserve">（一）根据国家、省的方针和产业政策，研究拟定全县工程建设、城市建设、村镇建设、建筑业、市政公用事业、勘察业、建设机械制造业以及环卫行业的有关政策及发展规划，并组织指导实施和进行行业管理。     </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二）参与城市总体规划、城镇体系规划的制订和县管项目的选址定点工作；参与城镇土地使用权有偿出让工作；负责城市勘察和市政工程测量工作；负责城建档案的管理工作；负责建筑施工；图纸设计文件的监督、管理、审查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（三） 负责工程建设管理工作，监督工程建设程序的执行；管理监督工程建设、勘察、设计、审查、施工的招投标工作，综合管理工程监理工作，指导规范和综合管理全县 建筑市场；负责建设单位建设管理机构的业务、技术管理和工程勘察设计、工程质量、施工安全、建筑安装、建筑装饰的行业管理；与有关部门协商拟定建设工期定 额、工程造价、投资结算指标；组织协调建设企业参与域外或国际工程承包、建筑劳务合作。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（四）负责编制县城供热、燃气、市政设施、环境卫生中长期发展规划并进行行业管理；负责对城区公共景点的建设和保护监督管理工作；负责市区夜景亮化的规划、设计和管理工作。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（五）指导全县城镇和村庄的建设工作，推动城镇建设的改革与发展。</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（六）负责全县施工安装、建筑装饰、勘察设计、城市综合开发、建筑机械和城建设备生产企业的审批或报批工作；负责全县建筑机械、设计、市政公用和城建设备生产行业的资质管理工作。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（七）综合管理各类房屋建筑及其附属设施和城市市政设施建设工程的抗震设计审查工作；参与指导城市地下空间开发和利用工作。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（八）拟定行业科技发展规划，计划和技术经济政策，组织科技论证、开发和成果的推广应用；负责管理全县建筑节能、技术引进和创新工作；管理全县建设技术市场。</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（九）负责城区基础设施建设资金筹集、使用和管理工作；管理建设行业对外技术合作和引进，利用外资工作。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（十）代表县政府，协调处理与油田、铁路的关系，负责支援油田、支援铁路建设工作。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（十一）负责城区的拆迁安置工作。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（十二）制定行业人才培训规划，指导行业职工队伍岗位培训和继续教育工作。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（十三）管理局机关和企事业单位的人事劳资和机构编制工作；负责组织行业专业技术职称评定工作；指导建设系统安全保卫、工会、共青团及行业工资、劳动保险、劳动标准工作。</w:t>
      </w:r>
    </w:p>
    <w:p>
      <w:pPr>
        <w:pStyle w:val="11"/>
        <w:widowControl/>
        <w:shd w:val="clear" w:color="auto" w:fill="FFFFFF"/>
        <w:spacing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（十四）指导各乡镇建设工作。</w:t>
      </w:r>
    </w:p>
    <w:p>
      <w:pPr>
        <w:pStyle w:val="11"/>
        <w:widowControl/>
        <w:shd w:val="clear" w:color="auto" w:fill="FFFFFF"/>
        <w:spacing w:before="0" w:beforeAutospacing="0" w:after="0" w:afterAutospacing="0" w:line="405" w:lineRule="atLeast"/>
        <w:ind w:firstLine="640" w:firstLineChars="200"/>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（十五）承办县政府交办的其它工作</w:t>
      </w:r>
    </w:p>
    <w:p>
      <w:pPr>
        <w:pStyle w:val="2"/>
        <w:spacing w:before="0" w:after="0" w:line="600" w:lineRule="exact"/>
        <w:jc w:val="left"/>
        <w:rPr>
          <w:rFonts w:ascii="华文仿宋" w:hAnsi="华文仿宋" w:eastAsia="华文仿宋" w:cs="黑体"/>
          <w:b w:val="0"/>
          <w:bCs w:val="0"/>
          <w:kern w:val="0"/>
          <w:sz w:val="32"/>
          <w:szCs w:val="32"/>
        </w:rPr>
      </w:pPr>
      <w:r>
        <w:rPr>
          <w:rFonts w:hint="eastAsia" w:ascii="黑体" w:hAnsi="黑体" w:eastAsia="黑体" w:cs="黑体"/>
          <w:b w:val="0"/>
          <w:bCs w:val="0"/>
          <w:kern w:val="0"/>
          <w:sz w:val="32"/>
          <w:szCs w:val="32"/>
        </w:rPr>
        <w:t>二、机构设置</w:t>
      </w:r>
    </w:p>
    <w:p>
      <w:pPr>
        <w:spacing w:after="0" w:line="560" w:lineRule="exact"/>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从决算编报单位构成看，纳入2018 年度本部门决算汇编范围的独立核算单位（以下简称“单位”）共2个，具体情况如下：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序号</w:t>
            </w:r>
          </w:p>
        </w:tc>
        <w:tc>
          <w:tcPr>
            <w:tcW w:w="3485" w:type="dxa"/>
            <w:vAlign w:val="center"/>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单位名称</w:t>
            </w:r>
          </w:p>
        </w:tc>
        <w:tc>
          <w:tcPr>
            <w:tcW w:w="2445" w:type="dxa"/>
            <w:vAlign w:val="center"/>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单位基本性质</w:t>
            </w:r>
          </w:p>
        </w:tc>
        <w:tc>
          <w:tcPr>
            <w:tcW w:w="2665" w:type="dxa"/>
            <w:vAlign w:val="center"/>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1</w:t>
            </w:r>
          </w:p>
        </w:tc>
        <w:tc>
          <w:tcPr>
            <w:tcW w:w="3485" w:type="dxa"/>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文安县建设局(本级)</w:t>
            </w:r>
          </w:p>
        </w:tc>
        <w:tc>
          <w:tcPr>
            <w:tcW w:w="2445" w:type="dxa"/>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行政单位</w:t>
            </w:r>
          </w:p>
        </w:tc>
        <w:tc>
          <w:tcPr>
            <w:tcW w:w="2665" w:type="dxa"/>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85" w:type="dxa"/>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2</w:t>
            </w:r>
          </w:p>
        </w:tc>
        <w:tc>
          <w:tcPr>
            <w:tcW w:w="3485" w:type="dxa"/>
          </w:tcPr>
          <w:p>
            <w:pPr>
              <w:spacing w:after="0" w:line="560" w:lineRule="exact"/>
              <w:jc w:val="center"/>
              <w:rPr>
                <w:rFonts w:hint="eastAsia" w:ascii="仿宋_GB2312" w:eastAsia="仿宋_GB2312" w:cs="ArialUnicodeMS" w:hAnsiTheme="minorHAnsi"/>
                <w:kern w:val="0"/>
                <w:sz w:val="32"/>
                <w:szCs w:val="32"/>
                <w:lang w:val="en-US" w:eastAsia="zh-CN" w:bidi="ar-SA"/>
              </w:rPr>
            </w:pPr>
            <w:r>
              <w:rPr>
                <w:rFonts w:hint="eastAsia" w:ascii="仿宋_GB2312" w:eastAsia="仿宋_GB2312" w:cs="ArialUnicodeMS" w:hAnsiTheme="minorHAnsi"/>
                <w:kern w:val="0"/>
                <w:sz w:val="32"/>
                <w:szCs w:val="32"/>
                <w:lang w:val="en-US" w:eastAsia="zh-CN" w:bidi="ar-SA"/>
              </w:rPr>
              <w:t>文安县市政工程队</w:t>
            </w:r>
          </w:p>
        </w:tc>
        <w:tc>
          <w:tcPr>
            <w:tcW w:w="2445" w:type="dxa"/>
          </w:tcPr>
          <w:p>
            <w:pPr>
              <w:spacing w:after="0" w:line="560" w:lineRule="exact"/>
              <w:jc w:val="center"/>
              <w:rPr>
                <w:rFonts w:hint="eastAsia" w:ascii="仿宋_GB2312" w:eastAsia="仿宋_GB2312" w:cs="ArialUnicodeMS" w:hAnsiTheme="minorHAnsi"/>
                <w:kern w:val="0"/>
                <w:sz w:val="24"/>
                <w:szCs w:val="24"/>
                <w:lang w:val="en-US" w:eastAsia="zh-CN" w:bidi="ar-SA"/>
              </w:rPr>
            </w:pPr>
            <w:r>
              <w:rPr>
                <w:rFonts w:hint="eastAsia" w:ascii="仿宋_GB2312" w:eastAsia="仿宋_GB2312" w:cs="ArialUnicodeMS" w:hAnsiTheme="minorHAnsi"/>
                <w:kern w:val="0"/>
                <w:sz w:val="24"/>
                <w:szCs w:val="24"/>
                <w:lang w:val="en-US" w:eastAsia="zh-CN" w:bidi="ar-SA"/>
              </w:rPr>
              <w:t>财政补助事业单位</w:t>
            </w:r>
          </w:p>
        </w:tc>
        <w:tc>
          <w:tcPr>
            <w:tcW w:w="2665" w:type="dxa"/>
          </w:tcPr>
          <w:p>
            <w:pPr>
              <w:spacing w:after="0" w:line="560" w:lineRule="exact"/>
              <w:jc w:val="center"/>
              <w:rPr>
                <w:rFonts w:hint="eastAsia" w:ascii="仿宋_GB2312" w:eastAsia="仿宋_GB2312" w:cs="ArialUnicodeMS" w:hAnsiTheme="minorHAnsi"/>
                <w:kern w:val="0"/>
                <w:sz w:val="24"/>
                <w:szCs w:val="24"/>
                <w:lang w:val="en-US" w:eastAsia="zh-CN" w:bidi="ar-SA"/>
              </w:rPr>
            </w:pPr>
            <w:r>
              <w:rPr>
                <w:rFonts w:hint="eastAsia" w:ascii="仿宋_GB2312" w:eastAsia="仿宋_GB2312" w:cs="ArialUnicodeMS" w:hAnsiTheme="minorHAnsi"/>
                <w:kern w:val="0"/>
                <w:sz w:val="24"/>
                <w:szCs w:val="24"/>
                <w:lang w:val="en-US" w:eastAsia="zh-CN" w:bidi="ar-SA"/>
              </w:rPr>
              <w:t>财政性资金基本保证</w:t>
            </w:r>
          </w:p>
        </w:tc>
      </w:tr>
    </w:tbl>
    <w:p>
      <w:pPr>
        <w:widowControl/>
        <w:spacing w:line="560" w:lineRule="exact"/>
        <w:jc w:val="center"/>
        <w:rPr>
          <w:rFonts w:ascii="华文仿宋" w:hAnsi="华文仿宋" w:eastAsia="华文仿宋"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hint="eastAsia"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rFonts w:ascii="黑体" w:hAnsi="宋体" w:eastAsia="黑体"/>
          <w:color w:val="000000"/>
          <w:sz w:val="72"/>
          <w:szCs w:val="96"/>
        </w:rPr>
      </w:pPr>
      <w:r>
        <w:rPr>
          <w:rFonts w:hint="eastAsia" w:hAnsi="宋体" w:asciiTheme="minorEastAsia" w:eastAsiaTheme="minorEastAsia"/>
          <w:color w:val="000000" w:themeColor="text1"/>
          <w:sz w:val="72"/>
          <w:szCs w:val="96"/>
        </w:rPr>
        <w:t>2018年度部门决算报表</w:t>
      </w:r>
    </w:p>
    <w:p>
      <w:pPr>
        <w:widowControl/>
        <w:spacing w:line="1200" w:lineRule="exact"/>
        <w:jc w:val="center"/>
        <w:rPr>
          <w:color w:val="000000"/>
          <w:sz w:val="144"/>
          <w:szCs w:val="96"/>
        </w:rPr>
      </w:pPr>
      <w:r>
        <w:rPr>
          <w:rFonts w:hint="eastAsia" w:eastAsia="黑体"/>
          <w:sz w:val="36"/>
          <w:szCs w:val="28"/>
        </w:rPr>
        <w:t>部门决算报表（见附表）</w:t>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hint="eastAsia"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sz w:val="72"/>
          <w:szCs w:val="96"/>
        </w:rPr>
      </w:pPr>
      <w:r>
        <w:rPr>
          <w:rFonts w:hint="eastAsia" w:hAnsi="宋体" w:asciiTheme="minorEastAsia" w:eastAsiaTheme="minorEastAsia"/>
          <w:color w:val="000000" w:themeColor="text1"/>
          <w:sz w:val="96"/>
          <w:szCs w:val="96"/>
        </w:rPr>
        <w:t>部门决算情况说明</w:t>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hint="eastAsia" w:ascii="黑体" w:eastAsia="黑体" w:cs="黑体" w:hAnsiTheme="minorHAnsi"/>
          <w:b w:val="0"/>
          <w:bCs w:val="0"/>
          <w:kern w:val="0"/>
        </w:rPr>
      </w:pPr>
      <w:r>
        <w:rPr>
          <w:rFonts w:hint="eastAsia" w:ascii="黑体" w:eastAsia="黑体" w:cs="黑体" w:hAnsiTheme="minorHAnsi"/>
          <w:b w:val="0"/>
          <w:bCs w:val="0"/>
          <w:kern w:val="0"/>
        </w:rPr>
        <w:t>一、收入支出决算总体情况说明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本部门2018年度收年初结转和结余2.75万元，本年收入31402.75万元，本年支出25680.01万元，年末结转和结余5722.73万元。与2017年度决算相比，收入增加19969.04万元，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65.5%，</w:t>
      </w:r>
      <w:r>
        <w:rPr>
          <w:rFonts w:hint="eastAsia" w:ascii="仿宋_GB2312" w:eastAsia="仿宋_GB2312" w:cs="DengXian-Regular"/>
          <w:sz w:val="32"/>
          <w:szCs w:val="32"/>
        </w:rPr>
        <w:t>支出增加15841.66万元</w:t>
      </w:r>
      <w:r>
        <w:rPr>
          <w:rFonts w:hint="eastAsia" w:ascii="仿宋_GB2312" w:eastAsia="仿宋_GB2312" w:cs="DengXian-Regular"/>
          <w:sz w:val="32"/>
          <w:szCs w:val="32"/>
          <w:lang w:eastAsia="zh-CN"/>
        </w:rPr>
        <w:t>，增</w:t>
      </w:r>
      <w:r>
        <w:rPr>
          <w:rFonts w:hint="eastAsia" w:ascii="仿宋_GB2312" w:eastAsia="仿宋_GB2312" w:cs="DengXian-Regular"/>
          <w:sz w:val="32"/>
          <w:szCs w:val="32"/>
          <w:lang w:val="en-US" w:eastAsia="zh-CN"/>
        </w:rPr>
        <w:t>,61.7%。主要是</w:t>
      </w:r>
      <w:r>
        <w:rPr>
          <w:rFonts w:hint="eastAsia" w:ascii="仿宋_GB2312" w:eastAsia="仿宋_GB2312" w:cs="DengXian-Regular"/>
          <w:sz w:val="32"/>
          <w:szCs w:val="32"/>
        </w:rPr>
        <w:t>气代煤上级资金拨入、支出资金增加。</w:t>
      </w:r>
    </w:p>
    <w:p>
      <w:pPr>
        <w:pStyle w:val="3"/>
        <w:spacing w:before="0" w:after="0" w:line="580" w:lineRule="exact"/>
        <w:ind w:firstLine="640" w:firstLineChars="200"/>
        <w:rPr>
          <w:rFonts w:hint="eastAsia" w:ascii="黑体" w:eastAsia="黑体" w:cs="黑体" w:hAnsiTheme="minorHAnsi"/>
          <w:b w:val="0"/>
          <w:bCs w:val="0"/>
          <w:kern w:val="0"/>
        </w:rPr>
      </w:pPr>
      <w:r>
        <w:rPr>
          <w:rFonts w:hint="eastAsia" w:ascii="黑体" w:eastAsia="黑体" w:cs="黑体" w:hAnsiTheme="minorHAnsi"/>
          <w:b w:val="0"/>
          <w:bCs w:val="0"/>
          <w:kern w:val="0"/>
        </w:rPr>
        <w:t>二、收入决算情况说明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本部门2018年度本年收入合计31402.75万元，其中：财政拨款收入31402.75万元，占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pStyle w:val="3"/>
        <w:spacing w:before="0" w:after="0" w:line="580" w:lineRule="exact"/>
        <w:ind w:firstLine="640" w:firstLineChars="200"/>
        <w:rPr>
          <w:rFonts w:hint="eastAsia" w:ascii="黑体" w:eastAsia="黑体" w:cs="黑体" w:hAnsiTheme="minorHAnsi"/>
          <w:b w:val="0"/>
          <w:bCs w:val="0"/>
          <w:kern w:val="0"/>
        </w:rPr>
      </w:pPr>
      <w:r>
        <w:rPr>
          <w:rFonts w:hint="eastAsia" w:ascii="黑体" w:eastAsia="黑体" w:cs="黑体" w:hAnsiTheme="minorHAnsi"/>
          <w:b w:val="0"/>
          <w:bCs w:val="0"/>
          <w:kern w:val="0"/>
        </w:rPr>
        <w:t>三、支出决算情况说明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25680.01</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3049.31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11.87</w:t>
      </w:r>
      <w:r>
        <w:rPr>
          <w:rFonts w:hint="eastAsia" w:ascii="仿宋_GB2312" w:eastAsia="仿宋_GB2312" w:cs="DengXian-Regular"/>
          <w:sz w:val="32"/>
          <w:szCs w:val="32"/>
        </w:rPr>
        <w:t>%；项目支出22630.7万元，占</w:t>
      </w:r>
      <w:r>
        <w:rPr>
          <w:rFonts w:hint="eastAsia" w:ascii="仿宋_GB2312" w:eastAsia="仿宋_GB2312" w:cs="DengXian-Regular"/>
          <w:sz w:val="32"/>
          <w:szCs w:val="32"/>
          <w:lang w:val="en-US" w:eastAsia="zh-CN"/>
        </w:rPr>
        <w:t>88.13</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pStyle w:val="3"/>
        <w:spacing w:before="0" w:after="0" w:line="580" w:lineRule="exact"/>
        <w:ind w:firstLine="640" w:firstLineChars="200"/>
        <w:rPr>
          <w:rFonts w:hint="eastAsia" w:ascii="黑体" w:eastAsia="黑体" w:cs="黑体" w:hAnsiTheme="minorHAnsi"/>
          <w:b w:val="0"/>
          <w:bCs w:val="0"/>
          <w:kern w:val="0"/>
        </w:rPr>
      </w:pPr>
      <w:r>
        <w:rPr>
          <w:rFonts w:hint="eastAsia" w:ascii="黑体" w:eastAsia="黑体" w:cs="黑体" w:hAnsiTheme="minorHAnsi"/>
          <w:b w:val="0"/>
          <w:bCs w:val="0"/>
          <w:kern w:val="0"/>
        </w:rPr>
        <w:t>四、财政拨款收入支出决算情况说明</w:t>
      </w:r>
    </w:p>
    <w:p>
      <w:pPr>
        <w:spacing w:after="0" w:line="580" w:lineRule="exact"/>
        <w:ind w:firstLine="640" w:firstLineChars="20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（一）财政拨款收支与2017 年度决算对比情况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本部门2018年度财政拨款本年收入31402.75万元,比2017年度增加19969.04万元，增长</w:t>
      </w:r>
      <w:r>
        <w:rPr>
          <w:rFonts w:hint="eastAsia" w:ascii="仿宋_GB2312" w:eastAsia="仿宋_GB2312" w:cs="DengXian-Regular"/>
          <w:sz w:val="32"/>
          <w:szCs w:val="32"/>
          <w:lang w:val="en-US" w:eastAsia="zh-CN"/>
        </w:rPr>
        <w:t>65.5</w:t>
      </w:r>
      <w:r>
        <w:rPr>
          <w:rFonts w:hint="eastAsia" w:ascii="仿宋_GB2312" w:eastAsia="仿宋_GB2312" w:cs="DengXian-Regular"/>
          <w:sz w:val="32"/>
          <w:szCs w:val="32"/>
        </w:rPr>
        <w:t>%，主要是气代煤工程上级资金增加；本年支出25985.78万元，增加15841.66万元，增长61%，主要是气代煤工程上级资金增加。</w:t>
      </w:r>
    </w:p>
    <w:p>
      <w:pPr>
        <w:adjustRightInd w:val="0"/>
        <w:snapToGrid w:val="0"/>
        <w:spacing w:after="0" w:line="580" w:lineRule="exact"/>
        <w:ind w:firstLine="640" w:firstLineChars="200"/>
        <w:rPr>
          <w:rFonts w:hint="eastAsia" w:ascii="华文仿宋" w:hAnsi="华文仿宋" w:eastAsia="华文仿宋"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本年收入27641.15万元，比2017年度增加18095.03万元，增长65%，主要是气代煤工程上级资金增加；本年支出22224.18万元，比2017年度增加12080.06万元，增长58%，主要是气代煤工程上级资金增加。政府性基金预算财政拨款本年收入3761.6万元，比2017年度增加1887.59万元，增长50%，主要是政府性基金项目增加；本年支出3761.6万元，比2017年度增加198.24万元，增长0.05%，主要是政府性基金项目增加。</w:t>
      </w:r>
    </w:p>
    <w:p>
      <w:pPr>
        <w:pStyle w:val="3"/>
        <w:spacing w:before="0" w:after="0" w:line="580" w:lineRule="exact"/>
        <w:ind w:firstLine="640" w:firstLineChars="200"/>
        <w:rPr>
          <w:rFonts w:hint="eastAsia" w:ascii="黑体" w:eastAsia="黑体" w:cs="黑体" w:hAnsiTheme="minorHAnsi"/>
          <w:b w:val="0"/>
          <w:bCs w:val="0"/>
          <w:kern w:val="0"/>
        </w:rPr>
      </w:pPr>
      <w:r>
        <w:rPr>
          <w:rFonts w:hint="eastAsia" w:ascii="黑体" w:eastAsia="黑体" w:cs="黑体" w:hAnsiTheme="minorHAnsi"/>
          <w:b w:val="0"/>
          <w:bCs w:val="0"/>
          <w:kern w:val="0"/>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财政拨款本年收入31402.75万元，完成年初预算的141%,比年初预算增加9212.64万元，决算数大于预算数主要是气代煤工程上级资金增加；本年支出25985.78万元，完成年初预算的115%,比年初预算增加3486.27万元，决算数大于预算数主要是气代煤工程上级资金增加。</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124%，比年初预算增加5451.04万元，决算数大于预算数主要是气代煤工程上级资金增加；支出完成年初预算99%，比年初预算减少275.33万元，决算数小于预算数主要是节省开支。政府性基金预算财政拨款本年收入完成年初预算100%。支出完成年初调整预算100%。比年初预算增加3761.6万元，决算数大于预算数主要是</w:t>
      </w:r>
      <w:r>
        <w:rPr>
          <w:rFonts w:hint="eastAsia" w:ascii="仿宋_GB2312" w:eastAsia="仿宋_GB2312" w:cs="DengXian-Regular"/>
          <w:sz w:val="32"/>
          <w:szCs w:val="32"/>
          <w:lang w:eastAsia="zh-CN"/>
        </w:rPr>
        <w:t>基金项目的增加</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%，比年初预算增加3761.6万元，决算数大于预算数主要是</w:t>
      </w:r>
      <w:r>
        <w:rPr>
          <w:rFonts w:hint="eastAsia" w:ascii="仿宋_GB2312" w:eastAsia="仿宋_GB2312" w:cs="DengXian-Regular"/>
          <w:sz w:val="32"/>
          <w:szCs w:val="32"/>
          <w:lang w:eastAsia="zh-CN"/>
        </w:rPr>
        <w:t>基金项目的增加</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2018 年度财政拨款支出25680.01万元，主要用于以下方面：社会保障和就业支出308.33万元，占1%；城乡社区支出6592.01万元，占27%。节能环保支出18473.84万元，占71%，住房保障支出305.83万元，占1%。</w:t>
      </w:r>
    </w:p>
    <w:p>
      <w:pPr>
        <w:adjustRightInd w:val="0"/>
        <w:snapToGrid w:val="0"/>
        <w:spacing w:after="0" w:line="580" w:lineRule="exact"/>
        <w:ind w:left="420" w:leftChars="200"/>
        <w:rPr>
          <w:rFonts w:hint="eastAsia" w:ascii="黑体" w:eastAsia="黑体" w:cs="黑体" w:hAnsiTheme="minorHAnsi"/>
          <w:b w:val="0"/>
          <w:bCs w:val="0"/>
          <w:kern w:val="0"/>
          <w:sz w:val="32"/>
          <w:szCs w:val="32"/>
          <w:lang w:val="en-US" w:eastAsia="zh-CN" w:bidi="ar-SA"/>
        </w:rPr>
      </w:pPr>
      <w:r>
        <w:rPr>
          <w:rFonts w:hint="eastAsia" w:ascii="华文仿宋" w:hAnsi="华文仿宋" w:eastAsia="华文仿宋" w:cs="DengXian-Bold"/>
          <w:b/>
          <w:bCs/>
          <w:sz w:val="32"/>
          <w:szCs w:val="32"/>
        </w:rPr>
        <w:t>（四）</w:t>
      </w:r>
      <w:r>
        <w:rPr>
          <w:rFonts w:hint="eastAsia" w:ascii="黑体" w:eastAsia="黑体" w:cs="黑体" w:hAnsiTheme="minorHAnsi"/>
          <w:b w:val="0"/>
          <w:bCs w:val="0"/>
          <w:kern w:val="0"/>
          <w:sz w:val="32"/>
          <w:szCs w:val="32"/>
          <w:lang w:val="en-US" w:eastAsia="zh-CN" w:bidi="ar-SA"/>
        </w:rPr>
        <w:t>一般公共预算财政拨款基本支出决算情况说明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2018 年度一般公共预算财政拨款基本支出3049.31万元，其中：人员经费 2797.28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252.03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五、一般公共预算财政拨款“三公” 经费支出决算情况说明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本部门2018年度一般公共预算财政拨款“三公”经费支出共计3.88万元，比年初预算增加1.48万元，增长62%，主要是人防车辆费用增加；比2017年度决算减少0.75万元，降低16%，主要是减少出车次数。具体情况如下：</w:t>
      </w:r>
    </w:p>
    <w:p>
      <w:pPr>
        <w:pStyle w:val="33"/>
        <w:numPr>
          <w:ilvl w:val="0"/>
          <w:numId w:val="2"/>
        </w:numPr>
        <w:adjustRightInd w:val="0"/>
        <w:snapToGrid w:val="0"/>
        <w:spacing w:line="584" w:lineRule="exact"/>
        <w:ind w:firstLineChars="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因公出国（境）费支出0万元。</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本部门2018年度因公出国（境）团组0个、共0人/参加其他单位组织的因公出国（境）团组0个、共0人/无本单位组织的出国（境）团组。因公出国（境）费支出较年初预算无增减变化；较2017年度决算无增减变化。</w:t>
      </w:r>
    </w:p>
    <w:p>
      <w:pPr>
        <w:adjustRightInd w:val="0"/>
        <w:snapToGrid w:val="0"/>
        <w:spacing w:line="584" w:lineRule="exact"/>
        <w:ind w:firstLine="641" w:firstLineChars="200"/>
        <w:rPr>
          <w:rFonts w:hint="eastAsia" w:ascii="华文仿宋" w:hAnsi="华文仿宋" w:eastAsia="华文仿宋"/>
          <w:b/>
          <w:bCs/>
          <w:sz w:val="32"/>
          <w:szCs w:val="32"/>
          <w:lang w:eastAsia="zh-CN"/>
        </w:rPr>
      </w:pPr>
      <w:r>
        <w:rPr>
          <w:rFonts w:hint="eastAsia" w:ascii="华文仿宋" w:hAnsi="华文仿宋" w:eastAsia="华文仿宋"/>
          <w:b/>
          <w:bCs/>
          <w:sz w:val="32"/>
          <w:szCs w:val="32"/>
        </w:rPr>
        <w:t>（二）</w:t>
      </w:r>
      <w:r>
        <w:rPr>
          <w:rFonts w:hint="eastAsia" w:ascii="黑体" w:eastAsia="黑体" w:cs="黑体" w:hAnsiTheme="minorHAnsi"/>
          <w:b w:val="0"/>
          <w:bCs w:val="0"/>
          <w:kern w:val="0"/>
          <w:sz w:val="32"/>
          <w:szCs w:val="32"/>
          <w:lang w:val="en-US" w:eastAsia="zh-CN" w:bidi="ar-SA"/>
        </w:rPr>
        <w:t>公务用车购置及运行维护费支出3.88万元</w:t>
      </w:r>
      <w:r>
        <w:rPr>
          <w:rFonts w:hint="eastAsia" w:ascii="华文仿宋" w:hAnsi="华文仿宋" w:eastAsia="华文仿宋"/>
          <w:b/>
          <w:bCs/>
          <w:sz w:val="32"/>
          <w:szCs w:val="32"/>
        </w:rPr>
        <w:t>。</w:t>
      </w:r>
      <w:r>
        <w:rPr>
          <w:rFonts w:hint="eastAsia" w:ascii="华文仿宋" w:hAnsi="华文仿宋" w:eastAsia="华文仿宋"/>
          <w:b/>
          <w:bCs/>
          <w:sz w:val="32"/>
          <w:szCs w:val="32"/>
          <w:lang w:eastAsia="zh-CN"/>
        </w:rPr>
        <w:t>、</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公务用车购置及运行维护费比年初预算减少0.12万元，降低3%,主要是减少出车次数；比2017年度决算减少0.75万元，降低16%，主要是减少出车次数。其中：公务用车购置费支出0万元。本部门2018年度公务用车购置数量0辆。公务用车购置费支出较年初预算无增减变化；较2017年度决算无增减变化。</w:t>
      </w:r>
    </w:p>
    <w:p>
      <w:pPr>
        <w:adjustRightInd w:val="0"/>
        <w:snapToGrid w:val="0"/>
        <w:spacing w:line="584" w:lineRule="exact"/>
        <w:ind w:firstLine="641" w:firstLineChars="200"/>
        <w:rPr>
          <w:rFonts w:hint="eastAsia" w:ascii="仿宋_GB2312" w:eastAsia="仿宋_GB2312" w:cs="DengXian-Regular"/>
          <w:sz w:val="32"/>
          <w:szCs w:val="32"/>
        </w:rPr>
      </w:pPr>
      <w:r>
        <w:rPr>
          <w:rFonts w:hint="eastAsia" w:ascii="华文仿宋" w:hAnsi="华文仿宋" w:eastAsia="华文仿宋"/>
          <w:b/>
          <w:sz w:val="32"/>
          <w:szCs w:val="32"/>
        </w:rPr>
        <w:t>公务用车运行维护费支出</w:t>
      </w:r>
      <w:r>
        <w:rPr>
          <w:rFonts w:ascii="华文仿宋" w:hAnsi="华文仿宋" w:eastAsia="华文仿宋"/>
          <w:b/>
          <w:sz w:val="32"/>
          <w:szCs w:val="32"/>
        </w:rPr>
        <w:t>3.88</w:t>
      </w:r>
      <w:r>
        <w:rPr>
          <w:rFonts w:hint="eastAsia" w:ascii="华文仿宋" w:hAnsi="华文仿宋" w:eastAsia="华文仿宋"/>
          <w:b/>
          <w:sz w:val="32"/>
          <w:szCs w:val="32"/>
        </w:rPr>
        <w:t>万元。</w:t>
      </w:r>
      <w:r>
        <w:rPr>
          <w:rFonts w:hint="eastAsia" w:ascii="仿宋_GB2312" w:eastAsia="仿宋_GB2312" w:cs="DengXian-Regular"/>
          <w:sz w:val="32"/>
          <w:szCs w:val="32"/>
        </w:rPr>
        <w:t>本部门2018年末单位公务用车保有量4辆。公车运行维护费支出比年初预算减少0.12万元，降低3%，主要是减少出车次数；比2017年度决算减少0.75万元，降低16%，主要是减少出车次数。</w:t>
      </w:r>
    </w:p>
    <w:p>
      <w:pPr>
        <w:pStyle w:val="33"/>
        <w:numPr>
          <w:ilvl w:val="0"/>
          <w:numId w:val="2"/>
        </w:numPr>
        <w:adjustRightInd w:val="0"/>
        <w:snapToGrid w:val="0"/>
        <w:spacing w:line="584" w:lineRule="exact"/>
        <w:ind w:firstLineChars="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公务接待费支出0万元。</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本部门2018年度公务接待共0批次、0人次。公务接待费支出较年初预算无增减变化；较2017年度决算无增减变化。</w:t>
      </w:r>
    </w:p>
    <w:p>
      <w:pPr>
        <w:pStyle w:val="33"/>
        <w:numPr>
          <w:ilvl w:val="0"/>
          <w:numId w:val="0"/>
        </w:numPr>
        <w:adjustRightInd w:val="0"/>
        <w:snapToGrid w:val="0"/>
        <w:spacing w:line="584" w:lineRule="exact"/>
        <w:ind w:left="641" w:leftChars="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六、预算绩效情况说明</w:t>
      </w:r>
    </w:p>
    <w:p>
      <w:pPr>
        <w:ind w:firstLine="56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一、绩效管理工作开展情况</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根据财政预算绩效管理要求，我单位以“部门职责-工作活动—预算项目为依据，确定部门预算项目和预算制度，清晰描述预算项目开支范围和内容，确定预算项目的绩效目标、绩效指标和评价标准，为预算绩效控制、绩效分析、绩效评价打下好的基础。</w:t>
      </w:r>
    </w:p>
    <w:p>
      <w:pPr>
        <w:ind w:firstLine="56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二、项目绩效自评结果</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为加强财政资金管理，提高财政资金的使用效益，遵循“科学规范、分类管理、绩效相关”的原则，运用科学、合理的技校评价方法，对本部门201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年度重点工作预算绩效情况进行客观、公正的评价。具体情况如下：</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1、根据国家、省的方针和产业政策，研究拟定全县工程建设、城市建设、村镇建设、建筑业、市政公用事业、勘察业、建设机械制造业以及环卫行业的有关政策及发展规划，并组织指导实施和进行行业管理。</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参与城市总体规划、城镇体系规划的制订和县管项目的选址定点工作；参与城镇土地使用权有偿出让工作；负责城市勘察和市政工程测量工作；负责城建档案的管理工作；负责建筑施工；图纸设计文件的监督、管理、审查工作。</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3、负责工程建设管理工作，监督工程建设程序的执行；管理监督工程建设、勘察、设计、审查、施工的招投标工作，综合管理工程监理工作，指导规范和综合管理全县建筑市场；负责建设单位建设管理机构的业务、技术管理和工程勘察设计、工程质量、施工安全、建筑安装、建筑装饰的行业管理；与有关部门协商拟定建设工期定额、工程造价、投资结算指标；组织协调建设企业参与域外或国际工程承包、建筑劳务合作。</w:t>
      </w:r>
    </w:p>
    <w:p>
      <w:pPr>
        <w:ind w:firstLine="56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三、重点项目绩效评价结果</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“文安县农村气代煤”项目，为加强预算绩效管理，切实提高财政资金使用效益，进一步做好201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年绩效评价工作，我单位对气代煤项目进行了绩效评价，取得了</w:t>
      </w:r>
      <w:bookmarkStart w:id="0" w:name="_GoBack"/>
      <w:bookmarkEnd w:id="0"/>
      <w:r>
        <w:rPr>
          <w:rFonts w:hint="eastAsia" w:ascii="仿宋_GB2312" w:eastAsia="仿宋_GB2312" w:cs="DengXian-Regular"/>
          <w:sz w:val="32"/>
          <w:szCs w:val="32"/>
        </w:rPr>
        <w:t>良好的成绩。</w:t>
      </w:r>
    </w:p>
    <w:p>
      <w:pPr>
        <w:pStyle w:val="3"/>
        <w:spacing w:before="0" w:after="0" w:line="580" w:lineRule="exact"/>
        <w:ind w:firstLine="640" w:firstLineChars="20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七、其他重要事项的说明</w:t>
      </w:r>
    </w:p>
    <w:p>
      <w:pPr>
        <w:pStyle w:val="4"/>
        <w:spacing w:before="0" w:after="0" w:line="580" w:lineRule="exact"/>
        <w:ind w:firstLine="640" w:firstLineChars="20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（一）机关运行经费情况</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本部门2018年度机关运行经费支出252.03万元，比年初预算数增加29.95万元，增长12%。主要是气代煤经费增加。较2017年度决算减少98.05万元，降低28%，主要是减少日常运行经费。</w:t>
      </w:r>
    </w:p>
    <w:p>
      <w:pPr>
        <w:pStyle w:val="4"/>
        <w:spacing w:before="0" w:after="0" w:line="580" w:lineRule="exact"/>
        <w:ind w:firstLine="640" w:firstLineChars="20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（二）政府采购情况</w:t>
      </w:r>
    </w:p>
    <w:p>
      <w:pPr>
        <w:adjustRightInd w:val="0"/>
        <w:snapToGrid w:val="0"/>
        <w:spacing w:line="584"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本部门2018年度政府采购支出总额1624.12万元，从采购类型来看，政府采购货物支出1402.62万元、政府采购工程支出0万元、政府采购服务支出 221.5万元。授予中小企业合同金1402.62万元，占政府采购支出总额的100%</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其中授予小微企业合同金额0万元，占政府采购支出总额的 0%。</w:t>
      </w:r>
    </w:p>
    <w:p>
      <w:pPr>
        <w:pStyle w:val="4"/>
        <w:spacing w:before="0" w:after="0" w:line="580" w:lineRule="exact"/>
        <w:ind w:firstLine="640" w:firstLineChars="20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（三）国有资产占用情况</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辆，主要是</w:t>
      </w:r>
      <w:r>
        <w:rPr>
          <w:rFonts w:hint="eastAsia" w:ascii="仿宋_GB2312" w:eastAsia="仿宋_GB2312" w:cs="DengXian-Regular"/>
          <w:sz w:val="32"/>
          <w:szCs w:val="32"/>
          <w:lang w:eastAsia="zh-CN"/>
        </w:rPr>
        <w:t>单位业务基本保持不变，不需增加公务用车数量</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其他用车；单位价值50万元以上通用设备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单位一直没有单价</w:t>
      </w:r>
      <w:r>
        <w:rPr>
          <w:rFonts w:hint="eastAsia" w:ascii="仿宋_GB2312" w:eastAsia="仿宋_GB2312" w:cs="DengXian-Regular"/>
          <w:sz w:val="32"/>
          <w:szCs w:val="32"/>
          <w:lang w:val="en-US" w:eastAsia="zh-CN"/>
        </w:rPr>
        <w:t>50万元以上专业设备</w:t>
      </w:r>
      <w:r>
        <w:rPr>
          <w:rFonts w:hint="eastAsia" w:ascii="仿宋_GB2312" w:eastAsia="仿宋_GB2312" w:cs="DengXian-Regular"/>
          <w:sz w:val="32"/>
          <w:szCs w:val="32"/>
        </w:rPr>
        <w:t xml:space="preserve"> ，单位价值100万元以上专用设备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单位一直没有单价</w:t>
      </w:r>
      <w:r>
        <w:rPr>
          <w:rFonts w:hint="eastAsia" w:ascii="仿宋_GB2312" w:eastAsia="仿宋_GB2312" w:cs="DengXian-Regular"/>
          <w:sz w:val="32"/>
          <w:szCs w:val="32"/>
          <w:lang w:val="en-US" w:eastAsia="zh-CN"/>
        </w:rPr>
        <w:t>100万元以上专业设备</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华文仿宋" w:hAnsi="华文仿宋" w:eastAsia="华文仿宋" w:cs="DengXian-Regular"/>
          <w:sz w:val="32"/>
          <w:szCs w:val="32"/>
        </w:rPr>
      </w:pPr>
    </w:p>
    <w:p>
      <w:pPr>
        <w:pStyle w:val="4"/>
        <w:spacing w:before="0" w:after="0" w:line="580" w:lineRule="exact"/>
        <w:ind w:firstLine="640" w:firstLineChars="200"/>
        <w:rPr>
          <w:rFonts w:hint="eastAsia" w:ascii="黑体" w:eastAsia="黑体" w:cs="黑体" w:hAnsiTheme="minorHAnsi"/>
          <w:b w:val="0"/>
          <w:bCs w:val="0"/>
          <w:kern w:val="0"/>
          <w:sz w:val="32"/>
          <w:szCs w:val="32"/>
          <w:lang w:val="en-US" w:eastAsia="zh-CN" w:bidi="ar-SA"/>
        </w:rPr>
      </w:pPr>
      <w:r>
        <w:rPr>
          <w:rFonts w:hint="eastAsia" w:ascii="黑体" w:eastAsia="黑体" w:cs="黑体" w:hAnsiTheme="minorHAnsi"/>
          <w:b w:val="0"/>
          <w:bCs w:val="0"/>
          <w:kern w:val="0"/>
          <w:sz w:val="32"/>
          <w:szCs w:val="32"/>
          <w:lang w:val="en-US" w:eastAsia="zh-CN" w:bidi="ar-SA"/>
        </w:rPr>
        <w:t>（四）其他需要说明的情况</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1、本部门2018年度国有资本经营无收支及结转结余情况，故国有自本经营预算财政拨款支出决算表以空表列示。</w:t>
      </w:r>
    </w:p>
    <w:p>
      <w:pPr>
        <w:adjustRightInd w:val="0"/>
        <w:snapToGrid w:val="0"/>
        <w:spacing w:line="584"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adjustRightInd w:val="0"/>
        <w:snapToGrid w:val="0"/>
        <w:spacing w:line="584" w:lineRule="exact"/>
        <w:ind w:firstLine="640" w:firstLineChars="200"/>
        <w:rPr>
          <w:rFonts w:hint="eastAsia" w:ascii="仿宋_GB2312" w:eastAsia="仿宋_GB2312" w:cs="DengXian-Regular"/>
          <w:sz w:val="32"/>
          <w:szCs w:val="3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r>
        <w:rPr>
          <w:rFonts w:hint="eastAsia" w:ascii="黑体" w:hAnsi="宋体" w:eastAsia="黑体"/>
          <w:color w:val="000000"/>
          <w:sz w:val="96"/>
          <w:szCs w:val="96"/>
        </w:rPr>
        <w:t>第四部分</w:t>
      </w:r>
    </w:p>
    <w:p>
      <w:pPr>
        <w:widowControl/>
        <w:spacing w:line="1200" w:lineRule="exact"/>
        <w:jc w:val="center"/>
        <w:rPr>
          <w:color w:val="000000"/>
          <w:sz w:val="96"/>
          <w:szCs w:val="96"/>
        </w:rPr>
      </w:pPr>
      <w:r>
        <w:rPr>
          <w:rFonts w:hint="eastAsia" w:ascii="黑体" w:hAnsi="宋体" w:eastAsia="黑体"/>
          <w:color w:val="000000"/>
          <w:sz w:val="96"/>
          <w:szCs w:val="96"/>
        </w:rPr>
        <w:t>名词解释</w:t>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hint="eastAsia" w:ascii="仿宋_GB2312" w:eastAsia="仿宋_GB2312" w:cs="DengXian-Regular"/>
          <w:sz w:val="32"/>
          <w:szCs w:val="32"/>
        </w:rPr>
      </w:pPr>
      <w:r>
        <w:rPr>
          <w:rFonts w:hint="eastAsia" w:ascii="仿宋_GB2312" w:hAnsi="宋体" w:eastAsia="仿宋_GB2312"/>
          <w:b/>
          <w:bCs/>
          <w:color w:val="000000"/>
          <w:kern w:val="0"/>
          <w:sz w:val="32"/>
          <w:szCs w:val="32"/>
        </w:rPr>
        <w:t>（一）财政拨款收入：</w:t>
      </w:r>
      <w:r>
        <w:rPr>
          <w:rFonts w:hint="eastAsia" w:ascii="仿宋_GB2312" w:eastAsia="仿宋_GB2312" w:cs="DengXian-Regular"/>
          <w:sz w:val="32"/>
          <w:szCs w:val="32"/>
        </w:rPr>
        <w:t>本年度从本级财政部门取得的财政拨款，包括一般公共预算财政拨款和政府性基金预算财政拨款。</w:t>
      </w:r>
    </w:p>
    <w:p>
      <w:pPr>
        <w:widowControl/>
        <w:spacing w:after="0" w:line="560" w:lineRule="exact"/>
        <w:ind w:firstLine="643" w:firstLineChars="200"/>
        <w:rPr>
          <w:rFonts w:hint="eastAsia" w:ascii="仿宋_GB2312" w:eastAsia="仿宋_GB2312" w:cs="DengXian-Regular"/>
          <w:sz w:val="32"/>
          <w:szCs w:val="32"/>
        </w:rPr>
      </w:pPr>
      <w:r>
        <w:rPr>
          <w:rFonts w:hint="eastAsia" w:ascii="仿宋_GB2312" w:hAnsi="宋体" w:eastAsia="仿宋_GB2312"/>
          <w:b/>
          <w:bCs/>
          <w:color w:val="000000"/>
          <w:kern w:val="0"/>
          <w:sz w:val="32"/>
          <w:szCs w:val="32"/>
        </w:rPr>
        <w:t>（二）事业收入：</w:t>
      </w:r>
      <w:r>
        <w:rPr>
          <w:rFonts w:hint="eastAsia" w:ascii="仿宋_GB2312" w:eastAsia="仿宋_GB2312" w:cs="DengXian-Regular"/>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hint="eastAsia"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hint="eastAsia"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hint="eastAsia"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C00200-BD6F-4172-8394-3B0BA618571B}"/>
  </w:font>
  <w:font w:name="Arial">
    <w:panose1 w:val="020B0604020202020204"/>
    <w:charset w:val="01"/>
    <w:family w:val="swiss"/>
    <w:pitch w:val="default"/>
    <w:sig w:usb0="E0002AFF" w:usb1="C0007843" w:usb2="00000009" w:usb3="00000000" w:csb0="400001FF" w:csb1="FFFF0000"/>
    <w:embedRegular r:id="rId2" w:fontKey="{38ED90BF-26FB-4C22-BE96-3B056EA68FE1}"/>
  </w:font>
  <w:font w:name="黑体">
    <w:panose1 w:val="02010609060101010101"/>
    <w:charset w:val="86"/>
    <w:family w:val="auto"/>
    <w:pitch w:val="default"/>
    <w:sig w:usb0="800002BF" w:usb1="38CF7CFA" w:usb2="00000016" w:usb3="00000000" w:csb0="00040001" w:csb1="00000000"/>
    <w:embedRegular r:id="rId3" w:fontKey="{674AD36F-0C34-456D-B9AB-998DA76DE418}"/>
  </w:font>
  <w:font w:name="Courier New">
    <w:panose1 w:val="02070309020205020404"/>
    <w:charset w:val="01"/>
    <w:family w:val="modern"/>
    <w:pitch w:val="default"/>
    <w:sig w:usb0="E0002AFF" w:usb1="C0007843" w:usb2="00000009" w:usb3="00000000" w:csb0="400001FF" w:csb1="FFFF0000"/>
    <w:embedRegular r:id="rId4" w:fontKey="{917920B5-CF9E-45BD-AE45-DF49471D6D58}"/>
  </w:font>
  <w:font w:name="Symbol">
    <w:panose1 w:val="05050102010706020507"/>
    <w:charset w:val="02"/>
    <w:family w:val="roman"/>
    <w:pitch w:val="default"/>
    <w:sig w:usb0="00000000" w:usb1="00000000" w:usb2="00000000" w:usb3="00000000" w:csb0="80000000" w:csb1="00000000"/>
    <w:embedRegular r:id="rId5" w:fontKey="{F59DBB7C-9D8D-4810-9C4B-DEC83951AB52}"/>
  </w:font>
  <w:font w:name="Calibri">
    <w:panose1 w:val="020F0502020204030204"/>
    <w:charset w:val="00"/>
    <w:family w:val="swiss"/>
    <w:pitch w:val="default"/>
    <w:sig w:usb0="E00002FF" w:usb1="4000ACFF" w:usb2="00000001" w:usb3="00000000" w:csb0="2000019F" w:csb1="00000000"/>
    <w:embedRegular r:id="rId6" w:fontKey="{A7407C61-274A-4AFB-8A4E-C44C8B022B97}"/>
  </w:font>
  <w:font w:name="Cambria">
    <w:panose1 w:val="02040503050406030204"/>
    <w:charset w:val="00"/>
    <w:family w:val="roman"/>
    <w:pitch w:val="default"/>
    <w:sig w:usb0="E00002FF" w:usb1="400004FF" w:usb2="00000000" w:usb3="00000000" w:csb0="2000019F" w:csb1="00000000"/>
    <w:embedRegular r:id="rId7" w:fontKey="{EF529C0D-C136-48EC-A518-47E077772EE2}"/>
  </w:font>
  <w:font w:name="仿宋_GB2312">
    <w:panose1 w:val="02010609030101010101"/>
    <w:charset w:val="86"/>
    <w:family w:val="modern"/>
    <w:pitch w:val="default"/>
    <w:sig w:usb0="00000000" w:usb1="00000000" w:usb2="00000000" w:usb3="00000000" w:csb0="00000000" w:csb1="00000000"/>
    <w:embedRegular r:id="rId8" w:fontKey="{E0703FE7-5B14-4E64-BC55-1FCA3873E50C}"/>
  </w:font>
  <w:font w:name="ArialUnicodeMS">
    <w:altName w:val="Malgun Gothic"/>
    <w:panose1 w:val="00000000000000000000"/>
    <w:charset w:val="81"/>
    <w:family w:val="auto"/>
    <w:pitch w:val="default"/>
    <w:sig w:usb0="00000000" w:usb1="00000000" w:usb2="00000010" w:usb3="00000000" w:csb0="00080000" w:csb1="00000000"/>
    <w:embedRegular r:id="rId9" w:fontKey="{798FC8B3-82C4-4870-BFEB-51EFEDD9876A}"/>
  </w:font>
  <w:font w:name="Malgun Gothic">
    <w:panose1 w:val="020B0503020000020004"/>
    <w:charset w:val="81"/>
    <w:family w:val="auto"/>
    <w:pitch w:val="default"/>
    <w:sig w:usb0="900002AF" w:usb1="01D77CFB" w:usb2="00000012" w:usb3="00000000" w:csb0="00080001" w:csb1="00000000"/>
  </w:font>
  <w:font w:name="华文仿宋">
    <w:panose1 w:val="02010600040101010101"/>
    <w:charset w:val="86"/>
    <w:family w:val="auto"/>
    <w:pitch w:val="default"/>
    <w:sig w:usb0="00000000" w:usb1="00000000" w:usb2="00000000" w:usb3="00000000" w:csb0="00000000" w:csb1="00000000"/>
    <w:embedRegular r:id="rId10" w:fontKey="{E2295941-9D22-4EC9-B315-553CD8B1DB35}"/>
  </w:font>
  <w:font w:name="MS-UIGothic,Bold">
    <w:altName w:val="Malgun Gothic"/>
    <w:panose1 w:val="00000000000000000000"/>
    <w:charset w:val="81"/>
    <w:family w:val="auto"/>
    <w:pitch w:val="default"/>
    <w:sig w:usb0="00000000" w:usb1="00000000" w:usb2="00000010" w:usb3="00000000" w:csb0="00080000" w:csb1="00000000"/>
    <w:embedRegular r:id="rId11" w:fontKey="{19900698-8780-4E8E-BCB0-2374645FA8B8}"/>
  </w:font>
  <w:font w:name="DengXian-Regular">
    <w:altName w:val="宋体"/>
    <w:panose1 w:val="00000000000000000000"/>
    <w:charset w:val="86"/>
    <w:family w:val="auto"/>
    <w:pitch w:val="default"/>
    <w:sig w:usb0="00000000" w:usb1="00000000" w:usb2="00000010" w:usb3="00000000" w:csb0="00040000" w:csb1="00000000"/>
    <w:embedRegular r:id="rId12" w:fontKey="{75452F4E-17DF-4981-B397-7F45CC21DD88}"/>
  </w:font>
  <w:font w:name="DengXian-Bold">
    <w:altName w:val="宋体"/>
    <w:panose1 w:val="00000000000000000000"/>
    <w:charset w:val="86"/>
    <w:family w:val="auto"/>
    <w:pitch w:val="default"/>
    <w:sig w:usb0="00000000" w:usb1="00000000" w:usb2="00000010" w:usb3="00000000" w:csb0="00040000" w:csb1="00000000"/>
    <w:embedRegular r:id="rId13" w:fontKey="{628A789E-EFF6-4C39-99E2-A80D23E9CFB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F234F7"/>
    <w:multiLevelType w:val="multilevel"/>
    <w:tmpl w:val="3DF234F7"/>
    <w:lvl w:ilvl="0" w:tentative="0">
      <w:start w:val="1"/>
      <w:numFmt w:val="japaneseCounting"/>
      <w:lvlText w:val="（%1）"/>
      <w:lvlJc w:val="left"/>
      <w:pPr>
        <w:ind w:left="1721" w:hanging="1080"/>
      </w:pPr>
      <w:rPr>
        <w:rFonts w:hint="default" w:cs="Times New Roman"/>
      </w:rPr>
    </w:lvl>
    <w:lvl w:ilvl="1" w:tentative="0">
      <w:start w:val="1"/>
      <w:numFmt w:val="lowerLetter"/>
      <w:lvlText w:val="%2)"/>
      <w:lvlJc w:val="left"/>
      <w:pPr>
        <w:ind w:left="1481" w:hanging="420"/>
      </w:pPr>
      <w:rPr>
        <w:rFonts w:cs="Times New Roman"/>
      </w:rPr>
    </w:lvl>
    <w:lvl w:ilvl="2" w:tentative="0">
      <w:start w:val="1"/>
      <w:numFmt w:val="lowerRoman"/>
      <w:lvlText w:val="%3."/>
      <w:lvlJc w:val="right"/>
      <w:pPr>
        <w:ind w:left="1901" w:hanging="420"/>
      </w:pPr>
      <w:rPr>
        <w:rFonts w:cs="Times New Roman"/>
      </w:rPr>
    </w:lvl>
    <w:lvl w:ilvl="3" w:tentative="0">
      <w:start w:val="1"/>
      <w:numFmt w:val="decimal"/>
      <w:lvlText w:val="%4."/>
      <w:lvlJc w:val="left"/>
      <w:pPr>
        <w:ind w:left="2321" w:hanging="420"/>
      </w:pPr>
      <w:rPr>
        <w:rFonts w:cs="Times New Roman"/>
      </w:rPr>
    </w:lvl>
    <w:lvl w:ilvl="4" w:tentative="0">
      <w:start w:val="1"/>
      <w:numFmt w:val="lowerLetter"/>
      <w:lvlText w:val="%5)"/>
      <w:lvlJc w:val="left"/>
      <w:pPr>
        <w:ind w:left="2741" w:hanging="420"/>
      </w:pPr>
      <w:rPr>
        <w:rFonts w:cs="Times New Roman"/>
      </w:rPr>
    </w:lvl>
    <w:lvl w:ilvl="5" w:tentative="0">
      <w:start w:val="1"/>
      <w:numFmt w:val="lowerRoman"/>
      <w:lvlText w:val="%6."/>
      <w:lvlJc w:val="right"/>
      <w:pPr>
        <w:ind w:left="3161" w:hanging="420"/>
      </w:pPr>
      <w:rPr>
        <w:rFonts w:cs="Times New Roman"/>
      </w:rPr>
    </w:lvl>
    <w:lvl w:ilvl="6" w:tentative="0">
      <w:start w:val="1"/>
      <w:numFmt w:val="decimal"/>
      <w:lvlText w:val="%7."/>
      <w:lvlJc w:val="left"/>
      <w:pPr>
        <w:ind w:left="3581" w:hanging="420"/>
      </w:pPr>
      <w:rPr>
        <w:rFonts w:cs="Times New Roman"/>
      </w:rPr>
    </w:lvl>
    <w:lvl w:ilvl="7" w:tentative="0">
      <w:start w:val="1"/>
      <w:numFmt w:val="lowerLetter"/>
      <w:lvlText w:val="%8)"/>
      <w:lvlJc w:val="left"/>
      <w:pPr>
        <w:ind w:left="4001" w:hanging="420"/>
      </w:pPr>
      <w:rPr>
        <w:rFonts w:cs="Times New Roman"/>
      </w:rPr>
    </w:lvl>
    <w:lvl w:ilvl="8" w:tentative="0">
      <w:start w:val="1"/>
      <w:numFmt w:val="lowerRoman"/>
      <w:lvlText w:val="%9."/>
      <w:lvlJc w:val="right"/>
      <w:pPr>
        <w:ind w:left="4421" w:hanging="420"/>
      </w:pPr>
      <w:rPr>
        <w:rFonts w:cs="Times New Roman"/>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0FAF"/>
    <w:rsid w:val="00021E9C"/>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91AAA"/>
    <w:rsid w:val="00197DAB"/>
    <w:rsid w:val="001B3410"/>
    <w:rsid w:val="001B7503"/>
    <w:rsid w:val="001C030D"/>
    <w:rsid w:val="001C4A84"/>
    <w:rsid w:val="001E5902"/>
    <w:rsid w:val="00233705"/>
    <w:rsid w:val="00246D99"/>
    <w:rsid w:val="00257266"/>
    <w:rsid w:val="00262306"/>
    <w:rsid w:val="00275CA2"/>
    <w:rsid w:val="00290893"/>
    <w:rsid w:val="002A65A5"/>
    <w:rsid w:val="002C04C4"/>
    <w:rsid w:val="002D08B0"/>
    <w:rsid w:val="002D1AE3"/>
    <w:rsid w:val="002F2ECE"/>
    <w:rsid w:val="00341C8F"/>
    <w:rsid w:val="0035463A"/>
    <w:rsid w:val="00384CB0"/>
    <w:rsid w:val="00391D9D"/>
    <w:rsid w:val="003B6C51"/>
    <w:rsid w:val="003C1413"/>
    <w:rsid w:val="003C549F"/>
    <w:rsid w:val="003C780D"/>
    <w:rsid w:val="003D5A16"/>
    <w:rsid w:val="003E7DB3"/>
    <w:rsid w:val="003F7B8C"/>
    <w:rsid w:val="00431175"/>
    <w:rsid w:val="004351D2"/>
    <w:rsid w:val="004374A3"/>
    <w:rsid w:val="00493686"/>
    <w:rsid w:val="004B64F7"/>
    <w:rsid w:val="004B6E37"/>
    <w:rsid w:val="004C32BA"/>
    <w:rsid w:val="004C68EF"/>
    <w:rsid w:val="00575922"/>
    <w:rsid w:val="005A3C0D"/>
    <w:rsid w:val="005A6C90"/>
    <w:rsid w:val="005B37E6"/>
    <w:rsid w:val="005E3FB0"/>
    <w:rsid w:val="005F4B66"/>
    <w:rsid w:val="005F5208"/>
    <w:rsid w:val="00605C29"/>
    <w:rsid w:val="00615C31"/>
    <w:rsid w:val="00633EC0"/>
    <w:rsid w:val="00641318"/>
    <w:rsid w:val="0064405D"/>
    <w:rsid w:val="00676780"/>
    <w:rsid w:val="00695557"/>
    <w:rsid w:val="006A6D7F"/>
    <w:rsid w:val="006D4EA7"/>
    <w:rsid w:val="0070012A"/>
    <w:rsid w:val="0070664B"/>
    <w:rsid w:val="007071B8"/>
    <w:rsid w:val="007155C2"/>
    <w:rsid w:val="007414DE"/>
    <w:rsid w:val="00760C0C"/>
    <w:rsid w:val="007905A9"/>
    <w:rsid w:val="007A70D0"/>
    <w:rsid w:val="007E072B"/>
    <w:rsid w:val="007E5500"/>
    <w:rsid w:val="007F055B"/>
    <w:rsid w:val="00811C2F"/>
    <w:rsid w:val="00814DBF"/>
    <w:rsid w:val="00833D46"/>
    <w:rsid w:val="00836215"/>
    <w:rsid w:val="00840A97"/>
    <w:rsid w:val="00872B02"/>
    <w:rsid w:val="00873292"/>
    <w:rsid w:val="008A640A"/>
    <w:rsid w:val="008C0149"/>
    <w:rsid w:val="008D5DED"/>
    <w:rsid w:val="008E25CA"/>
    <w:rsid w:val="008F34FC"/>
    <w:rsid w:val="00944CD7"/>
    <w:rsid w:val="00961190"/>
    <w:rsid w:val="009831B2"/>
    <w:rsid w:val="009A1720"/>
    <w:rsid w:val="009A1ABE"/>
    <w:rsid w:val="009E21A4"/>
    <w:rsid w:val="009F22C6"/>
    <w:rsid w:val="00A07E50"/>
    <w:rsid w:val="00A12C15"/>
    <w:rsid w:val="00A15397"/>
    <w:rsid w:val="00A35CE0"/>
    <w:rsid w:val="00A4462E"/>
    <w:rsid w:val="00A44AA4"/>
    <w:rsid w:val="00A61623"/>
    <w:rsid w:val="00A84687"/>
    <w:rsid w:val="00A90133"/>
    <w:rsid w:val="00AA0458"/>
    <w:rsid w:val="00AB0A0E"/>
    <w:rsid w:val="00AB4150"/>
    <w:rsid w:val="00AD3B6E"/>
    <w:rsid w:val="00AF6D31"/>
    <w:rsid w:val="00B1751F"/>
    <w:rsid w:val="00B50F96"/>
    <w:rsid w:val="00B56722"/>
    <w:rsid w:val="00B67044"/>
    <w:rsid w:val="00B74D39"/>
    <w:rsid w:val="00B827C6"/>
    <w:rsid w:val="00B86066"/>
    <w:rsid w:val="00B91DA4"/>
    <w:rsid w:val="00B9301B"/>
    <w:rsid w:val="00BA7174"/>
    <w:rsid w:val="00C12630"/>
    <w:rsid w:val="00C34562"/>
    <w:rsid w:val="00C3774E"/>
    <w:rsid w:val="00C5322C"/>
    <w:rsid w:val="00C57456"/>
    <w:rsid w:val="00C65387"/>
    <w:rsid w:val="00C87FAB"/>
    <w:rsid w:val="00C91FF7"/>
    <w:rsid w:val="00C92D15"/>
    <w:rsid w:val="00C94E53"/>
    <w:rsid w:val="00C97905"/>
    <w:rsid w:val="00CA1F0F"/>
    <w:rsid w:val="00CE3FC3"/>
    <w:rsid w:val="00CE490E"/>
    <w:rsid w:val="00D0048E"/>
    <w:rsid w:val="00D023B6"/>
    <w:rsid w:val="00D23E7A"/>
    <w:rsid w:val="00D56D8F"/>
    <w:rsid w:val="00D61063"/>
    <w:rsid w:val="00D67D2B"/>
    <w:rsid w:val="00DB35AF"/>
    <w:rsid w:val="00DD72D7"/>
    <w:rsid w:val="00DF5B88"/>
    <w:rsid w:val="00E0589E"/>
    <w:rsid w:val="00E0697F"/>
    <w:rsid w:val="00E241FA"/>
    <w:rsid w:val="00E2595E"/>
    <w:rsid w:val="00E35374"/>
    <w:rsid w:val="00E50C19"/>
    <w:rsid w:val="00E53D9B"/>
    <w:rsid w:val="00E64655"/>
    <w:rsid w:val="00E73081"/>
    <w:rsid w:val="00E856C9"/>
    <w:rsid w:val="00EA4F68"/>
    <w:rsid w:val="00EB6A8B"/>
    <w:rsid w:val="00EC6814"/>
    <w:rsid w:val="00ED411D"/>
    <w:rsid w:val="00EE2750"/>
    <w:rsid w:val="00EF38C6"/>
    <w:rsid w:val="00F679C7"/>
    <w:rsid w:val="00F7711A"/>
    <w:rsid w:val="00F80C0E"/>
    <w:rsid w:val="00F80C72"/>
    <w:rsid w:val="00FA0D58"/>
    <w:rsid w:val="00FA1580"/>
    <w:rsid w:val="00FA3BA3"/>
    <w:rsid w:val="00FA56F4"/>
    <w:rsid w:val="00FB4EDA"/>
    <w:rsid w:val="00FD3BD5"/>
    <w:rsid w:val="00FE3DC8"/>
    <w:rsid w:val="0264785D"/>
    <w:rsid w:val="04073F84"/>
    <w:rsid w:val="06F826E1"/>
    <w:rsid w:val="08AF1239"/>
    <w:rsid w:val="0A845226"/>
    <w:rsid w:val="0B60750A"/>
    <w:rsid w:val="10686488"/>
    <w:rsid w:val="10DF728A"/>
    <w:rsid w:val="1264200E"/>
    <w:rsid w:val="141C5B77"/>
    <w:rsid w:val="18D8339D"/>
    <w:rsid w:val="1A21388F"/>
    <w:rsid w:val="1A570D2F"/>
    <w:rsid w:val="21274747"/>
    <w:rsid w:val="28FB0B8D"/>
    <w:rsid w:val="2D2B7942"/>
    <w:rsid w:val="2D46481D"/>
    <w:rsid w:val="2E733B28"/>
    <w:rsid w:val="2EB27432"/>
    <w:rsid w:val="2EBF5171"/>
    <w:rsid w:val="30937195"/>
    <w:rsid w:val="31852B5A"/>
    <w:rsid w:val="32D01238"/>
    <w:rsid w:val="36B86A23"/>
    <w:rsid w:val="3DFC59A8"/>
    <w:rsid w:val="3ECF245E"/>
    <w:rsid w:val="3FB96314"/>
    <w:rsid w:val="53A44FAF"/>
    <w:rsid w:val="53E66D53"/>
    <w:rsid w:val="594329EC"/>
    <w:rsid w:val="5BEE1540"/>
    <w:rsid w:val="5D646E5E"/>
    <w:rsid w:val="5DE61A5D"/>
    <w:rsid w:val="5E510808"/>
    <w:rsid w:val="63C04243"/>
    <w:rsid w:val="649C01C7"/>
    <w:rsid w:val="699A3F60"/>
    <w:rsid w:val="6D0C7DBC"/>
    <w:rsid w:val="72902E62"/>
    <w:rsid w:val="73C61104"/>
    <w:rsid w:val="776452EA"/>
    <w:rsid w:val="7AA272C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8"/>
    <w:qFormat/>
    <w:uiPriority w:val="99"/>
    <w:pPr>
      <w:keepNext/>
      <w:keepLines/>
      <w:spacing w:before="260" w:after="260" w:line="416" w:lineRule="auto"/>
      <w:outlineLvl w:val="2"/>
    </w:pPr>
    <w:rPr>
      <w:b/>
      <w:bCs/>
      <w:sz w:val="32"/>
      <w:szCs w:val="32"/>
    </w:rPr>
  </w:style>
  <w:style w:type="paragraph" w:styleId="5">
    <w:name w:val="heading 4"/>
    <w:basedOn w:val="1"/>
    <w:next w:val="1"/>
    <w:link w:val="19"/>
    <w:qFormat/>
    <w:uiPriority w:val="99"/>
    <w:pPr>
      <w:keepNext/>
      <w:keepLines/>
      <w:spacing w:before="280" w:after="290" w:line="376" w:lineRule="auto"/>
      <w:outlineLvl w:val="3"/>
    </w:pPr>
    <w:rPr>
      <w:rFonts w:ascii="Calibri" w:hAnsi="Calibri"/>
      <w:b/>
      <w:bCs/>
      <w:sz w:val="28"/>
      <w:szCs w:val="28"/>
    </w:rPr>
  </w:style>
  <w:style w:type="character" w:default="1" w:styleId="15">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20"/>
    <w:semiHidden/>
    <w:qFormat/>
    <w:uiPriority w:val="99"/>
    <w:pPr>
      <w:ind w:left="100" w:leftChars="2500"/>
    </w:pPr>
  </w:style>
  <w:style w:type="paragraph" w:styleId="7">
    <w:name w:val="Balloon Text"/>
    <w:basedOn w:val="1"/>
    <w:link w:val="21"/>
    <w:semiHidden/>
    <w:qFormat/>
    <w:uiPriority w:val="99"/>
    <w:rPr>
      <w:sz w:val="18"/>
      <w:szCs w:val="18"/>
    </w:rPr>
  </w:style>
  <w:style w:type="paragraph" w:styleId="8">
    <w:name w:val="footer"/>
    <w:basedOn w:val="1"/>
    <w:link w:val="22"/>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4"/>
    <w:qFormat/>
    <w:uiPriority w:val="99"/>
    <w:pPr>
      <w:widowControl/>
      <w:spacing w:after="200" w:line="276" w:lineRule="auto"/>
      <w:jc w:val="left"/>
    </w:pPr>
    <w:rPr>
      <w:rFonts w:ascii="Calibri" w:hAnsi="Calibri"/>
      <w:i/>
      <w:iCs/>
      <w:color w:val="F0A22E"/>
      <w:spacing w:val="15"/>
      <w:kern w:val="0"/>
      <w:sz w:val="24"/>
    </w:rPr>
  </w:style>
  <w:style w:type="paragraph" w:styleId="11">
    <w:name w:val="Normal (Web)"/>
    <w:basedOn w:val="1"/>
    <w:qFormat/>
    <w:uiPriority w:val="99"/>
    <w:pPr>
      <w:spacing w:before="100" w:beforeAutospacing="1" w:after="100" w:afterAutospacing="1" w:line="240" w:lineRule="auto"/>
      <w:jc w:val="left"/>
    </w:pPr>
    <w:rPr>
      <w:kern w:val="0"/>
      <w:sz w:val="24"/>
      <w:szCs w:val="20"/>
    </w:rPr>
  </w:style>
  <w:style w:type="paragraph" w:styleId="12">
    <w:name w:val="Title"/>
    <w:basedOn w:val="1"/>
    <w:next w:val="1"/>
    <w:link w:val="25"/>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4">
    <w:name w:val="Table Grid"/>
    <w:basedOn w:val="13"/>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
    <w:name w:val="Heading 1 Char"/>
    <w:basedOn w:val="15"/>
    <w:link w:val="2"/>
    <w:qFormat/>
    <w:locked/>
    <w:uiPriority w:val="99"/>
    <w:rPr>
      <w:rFonts w:ascii="Times New Roman" w:hAnsi="Times New Roman" w:eastAsia="宋体" w:cs="Times New Roman"/>
      <w:b/>
      <w:bCs/>
      <w:kern w:val="44"/>
      <w:sz w:val="44"/>
      <w:szCs w:val="44"/>
    </w:rPr>
  </w:style>
  <w:style w:type="character" w:customStyle="1" w:styleId="17">
    <w:name w:val="Heading 2 Char"/>
    <w:basedOn w:val="15"/>
    <w:link w:val="3"/>
    <w:qFormat/>
    <w:locked/>
    <w:uiPriority w:val="99"/>
    <w:rPr>
      <w:rFonts w:ascii="Calibri" w:hAnsi="Calibri" w:eastAsia="宋体" w:cs="Times New Roman"/>
      <w:b/>
      <w:bCs/>
      <w:sz w:val="32"/>
      <w:szCs w:val="32"/>
    </w:rPr>
  </w:style>
  <w:style w:type="character" w:customStyle="1" w:styleId="18">
    <w:name w:val="Heading 3 Char"/>
    <w:basedOn w:val="15"/>
    <w:link w:val="4"/>
    <w:qFormat/>
    <w:locked/>
    <w:uiPriority w:val="99"/>
    <w:rPr>
      <w:rFonts w:ascii="Times New Roman" w:hAnsi="Times New Roman" w:eastAsia="宋体" w:cs="Times New Roman"/>
      <w:b/>
      <w:bCs/>
      <w:sz w:val="32"/>
      <w:szCs w:val="32"/>
    </w:rPr>
  </w:style>
  <w:style w:type="character" w:customStyle="1" w:styleId="19">
    <w:name w:val="Heading 4 Char"/>
    <w:basedOn w:val="15"/>
    <w:link w:val="5"/>
    <w:qFormat/>
    <w:locked/>
    <w:uiPriority w:val="99"/>
    <w:rPr>
      <w:rFonts w:ascii="Calibri" w:hAnsi="Calibri" w:eastAsia="宋体" w:cs="Times New Roman"/>
      <w:b/>
      <w:bCs/>
      <w:sz w:val="28"/>
      <w:szCs w:val="28"/>
    </w:rPr>
  </w:style>
  <w:style w:type="character" w:customStyle="1" w:styleId="20">
    <w:name w:val="Date Char"/>
    <w:basedOn w:val="15"/>
    <w:link w:val="6"/>
    <w:semiHidden/>
    <w:qFormat/>
    <w:locked/>
    <w:uiPriority w:val="99"/>
    <w:rPr>
      <w:rFonts w:ascii="Times New Roman" w:hAnsi="Times New Roman" w:eastAsia="宋体" w:cs="Times New Roman"/>
      <w:sz w:val="24"/>
      <w:szCs w:val="24"/>
    </w:rPr>
  </w:style>
  <w:style w:type="character" w:customStyle="1" w:styleId="21">
    <w:name w:val="Balloon Text Char"/>
    <w:basedOn w:val="15"/>
    <w:link w:val="7"/>
    <w:semiHidden/>
    <w:qFormat/>
    <w:locked/>
    <w:uiPriority w:val="99"/>
    <w:rPr>
      <w:rFonts w:ascii="Times New Roman" w:hAnsi="Times New Roman" w:eastAsia="宋体" w:cs="Times New Roman"/>
      <w:sz w:val="18"/>
      <w:szCs w:val="18"/>
    </w:rPr>
  </w:style>
  <w:style w:type="character" w:customStyle="1" w:styleId="22">
    <w:name w:val="Footer Char"/>
    <w:basedOn w:val="15"/>
    <w:link w:val="8"/>
    <w:qFormat/>
    <w:locked/>
    <w:uiPriority w:val="99"/>
    <w:rPr>
      <w:rFonts w:cs="Times New Roman"/>
      <w:sz w:val="18"/>
      <w:szCs w:val="18"/>
    </w:rPr>
  </w:style>
  <w:style w:type="character" w:customStyle="1" w:styleId="23">
    <w:name w:val="Header Char"/>
    <w:basedOn w:val="15"/>
    <w:link w:val="9"/>
    <w:qFormat/>
    <w:locked/>
    <w:uiPriority w:val="99"/>
    <w:rPr>
      <w:rFonts w:cs="Times New Roman"/>
      <w:sz w:val="18"/>
      <w:szCs w:val="18"/>
    </w:rPr>
  </w:style>
  <w:style w:type="character" w:customStyle="1" w:styleId="24">
    <w:name w:val="Subtitle Char"/>
    <w:basedOn w:val="15"/>
    <w:link w:val="10"/>
    <w:qFormat/>
    <w:locked/>
    <w:uiPriority w:val="99"/>
    <w:rPr>
      <w:rFonts w:ascii="Calibri" w:hAnsi="Calibri" w:eastAsia="宋体" w:cs="Times New Roman"/>
      <w:i/>
      <w:iCs/>
      <w:color w:val="F0A22E"/>
      <w:spacing w:val="15"/>
      <w:kern w:val="0"/>
      <w:sz w:val="24"/>
      <w:szCs w:val="24"/>
    </w:rPr>
  </w:style>
  <w:style w:type="character" w:customStyle="1" w:styleId="25">
    <w:name w:val="Title Char"/>
    <w:basedOn w:val="15"/>
    <w:link w:val="12"/>
    <w:qFormat/>
    <w:locked/>
    <w:uiPriority w:val="99"/>
    <w:rPr>
      <w:rFonts w:ascii="Calibri" w:hAnsi="Calibri" w:eastAsia="宋体" w:cs="Times New Roman"/>
      <w:color w:val="3A2C24"/>
      <w:spacing w:val="5"/>
      <w:kern w:val="28"/>
      <w:sz w:val="52"/>
      <w:szCs w:val="52"/>
    </w:rPr>
  </w:style>
  <w:style w:type="paragraph" w:styleId="26">
    <w:name w:val="No Spacing"/>
    <w:link w:val="27"/>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7">
    <w:name w:val="No Spacing Char"/>
    <w:basedOn w:val="15"/>
    <w:link w:val="26"/>
    <w:qFormat/>
    <w:locked/>
    <w:uiPriority w:val="99"/>
    <w:rPr>
      <w:rFonts w:cs="Times New Roman"/>
      <w:sz w:val="22"/>
      <w:szCs w:val="22"/>
      <w:lang w:val="en-US" w:eastAsia="zh-CN" w:bidi="ar-SA"/>
    </w:rPr>
  </w:style>
  <w:style w:type="character" w:customStyle="1" w:styleId="28">
    <w:name w:val="Style1"/>
    <w:basedOn w:val="15"/>
    <w:qFormat/>
    <w:uiPriority w:val="99"/>
    <w:rPr>
      <w:rFonts w:ascii="Cambria" w:hAnsi="黑体" w:eastAsia="黑体" w:cs="Times New Roman"/>
      <w:sz w:val="22"/>
      <w:szCs w:val="22"/>
      <w:lang w:eastAsia="zh-CN"/>
    </w:rPr>
  </w:style>
  <w:style w:type="character" w:customStyle="1" w:styleId="29">
    <w:name w:val="Style2"/>
    <w:basedOn w:val="15"/>
    <w:qFormat/>
    <w:uiPriority w:val="99"/>
    <w:rPr>
      <w:rFonts w:ascii="Cambria" w:hAnsi="黑体" w:eastAsia="黑体" w:cs="Times New Roman"/>
      <w:sz w:val="22"/>
      <w:szCs w:val="22"/>
      <w:lang w:eastAsia="zh-CN"/>
    </w:rPr>
  </w:style>
  <w:style w:type="character" w:customStyle="1" w:styleId="30">
    <w:name w:val="Style3"/>
    <w:basedOn w:val="15"/>
    <w:qFormat/>
    <w:uiPriority w:val="99"/>
    <w:rPr>
      <w:rFonts w:ascii="Cambria" w:hAnsi="黑体" w:eastAsia="黑体" w:cs="Times New Roman"/>
      <w:sz w:val="22"/>
      <w:szCs w:val="22"/>
      <w:lang w:eastAsia="zh-CN"/>
    </w:rPr>
  </w:style>
  <w:style w:type="character" w:customStyle="1" w:styleId="31">
    <w:name w:val="Style4"/>
    <w:basedOn w:val="15"/>
    <w:qFormat/>
    <w:uiPriority w:val="99"/>
    <w:rPr>
      <w:rFonts w:ascii="Cambria" w:hAnsi="黑体" w:eastAsia="黑体" w:cs="Times New Roman"/>
      <w:sz w:val="22"/>
      <w:szCs w:val="22"/>
      <w:lang w:eastAsia="zh-CN"/>
    </w:rPr>
  </w:style>
  <w:style w:type="character" w:customStyle="1" w:styleId="32">
    <w:name w:val="Style5"/>
    <w:basedOn w:val="15"/>
    <w:qFormat/>
    <w:uiPriority w:val="99"/>
    <w:rPr>
      <w:rFonts w:ascii="Cambria" w:hAnsi="黑体" w:eastAsia="黑体" w:cs="Times New Roman"/>
      <w:sz w:val="22"/>
      <w:szCs w:val="22"/>
      <w:lang w:eastAsia="zh-CN"/>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17</Pages>
  <Words>848</Words>
  <Characters>4835</Characters>
  <Lines>0</Lines>
  <Paragraphs>0</Paragraphs>
  <TotalTime>12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2019-10-16T05:57:00Z</dcterms:created>
  <dc:creator>User</dc:creator>
  <cp:lastModifiedBy>a...粉色</cp:lastModifiedBy>
  <cp:lastPrinted>2019-09-27T00:42:00Z</cp:lastPrinted>
  <dcterms:modified xsi:type="dcterms:W3CDTF">2021-05-27T08:29:35Z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84B6C8B3FAF04F6CB75F921BD116E771</vt:lpwstr>
  </property>
</Properties>
</file>